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E6E3" w14:textId="77777777" w:rsidR="00EA7F85" w:rsidRPr="00EA7F85" w:rsidRDefault="00EA7F85" w:rsidP="00EA7F85">
      <w:pPr>
        <w:spacing w:after="0" w:line="240" w:lineRule="auto"/>
        <w:jc w:val="both"/>
        <w:rPr>
          <w:rFonts w:ascii="Times New Roman" w:eastAsia="Times New Roman" w:hAnsi="Times New Roman" w:cs="Times New Roman"/>
          <w:kern w:val="0"/>
          <w:sz w:val="24"/>
          <w:szCs w:val="24"/>
          <w:lang w:eastAsia="ru-RU"/>
          <w14:ligatures w14:val="none"/>
        </w:rPr>
      </w:pPr>
    </w:p>
    <w:tbl>
      <w:tblPr>
        <w:tblW w:w="14700" w:type="dxa"/>
        <w:tblCellSpacing w:w="0" w:type="dxa"/>
        <w:tblCellMar>
          <w:left w:w="0" w:type="dxa"/>
          <w:right w:w="0" w:type="dxa"/>
        </w:tblCellMar>
        <w:tblLook w:val="04A0" w:firstRow="1" w:lastRow="0" w:firstColumn="1" w:lastColumn="0" w:noHBand="0" w:noVBand="1"/>
      </w:tblPr>
      <w:tblGrid>
        <w:gridCol w:w="14700"/>
      </w:tblGrid>
      <w:tr w:rsidR="00EA7F85" w:rsidRPr="00EA7F85" w14:paraId="3E654E90" w14:textId="77777777" w:rsidTr="00EA7F85">
        <w:trPr>
          <w:tblCellSpacing w:w="0" w:type="dxa"/>
        </w:trPr>
        <w:tc>
          <w:tcPr>
            <w:tcW w:w="0" w:type="auto"/>
            <w:tcMar>
              <w:top w:w="0" w:type="dxa"/>
              <w:left w:w="75" w:type="dxa"/>
              <w:bottom w:w="0" w:type="dxa"/>
              <w:right w:w="75" w:type="dxa"/>
            </w:tcMar>
            <w:hideMark/>
          </w:tcPr>
          <w:p w14:paraId="7B6F52FA" w14:textId="68C6E481" w:rsidR="00EA7F85" w:rsidRPr="00EA7F85" w:rsidRDefault="00EA7F85" w:rsidP="00EA7F85">
            <w:pPr>
              <w:pBdr>
                <w:bottom w:val="single" w:sz="6" w:space="2" w:color="DDDDDD"/>
              </w:pBdr>
              <w:spacing w:after="0" w:line="240" w:lineRule="auto"/>
              <w:jc w:val="both"/>
              <w:outlineLvl w:val="0"/>
              <w:rPr>
                <w:rFonts w:ascii="Arial" w:eastAsia="Times New Roman" w:hAnsi="Arial" w:cs="Arial"/>
                <w:b/>
                <w:bCs/>
                <w:caps/>
                <w:color w:val="1F4E79" w:themeColor="accent5" w:themeShade="80"/>
                <w:kern w:val="36"/>
                <w:sz w:val="24"/>
                <w:szCs w:val="24"/>
                <w:lang w:eastAsia="ru-RU"/>
                <w14:ligatures w14:val="none"/>
              </w:rPr>
            </w:pPr>
            <w:r w:rsidRPr="00EA7F85">
              <w:rPr>
                <w:rFonts w:ascii="Arial" w:eastAsia="Times New Roman" w:hAnsi="Arial" w:cs="Arial"/>
                <w:b/>
                <w:bCs/>
                <w:caps/>
                <w:color w:val="1F4E79" w:themeColor="accent5" w:themeShade="80"/>
                <w:kern w:val="36"/>
                <w:sz w:val="24"/>
                <w:szCs w:val="24"/>
                <w:lang w:eastAsia="ru-RU"/>
                <w14:ligatures w14:val="none"/>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p>
          <w:p w14:paraId="3E805D13" w14:textId="77777777" w:rsidR="00EA7F85" w:rsidRPr="00EA7F85" w:rsidRDefault="00EA7F85" w:rsidP="00EA7F85">
            <w:pPr>
              <w:spacing w:after="0" w:line="285" w:lineRule="atLeast"/>
              <w:jc w:val="both"/>
              <w:rPr>
                <w:rFonts w:ascii="Arial" w:eastAsia="Times New Roman" w:hAnsi="Arial" w:cs="Arial"/>
                <w:color w:val="555555"/>
                <w:kern w:val="0"/>
                <w:sz w:val="20"/>
                <w:szCs w:val="20"/>
                <w:lang w:eastAsia="ru-RU"/>
                <w14:ligatures w14:val="none"/>
              </w:rPr>
            </w:pPr>
            <w:r w:rsidRPr="00EA7F85">
              <w:rPr>
                <w:rFonts w:ascii="Arial" w:eastAsia="Times New Roman" w:hAnsi="Arial" w:cs="Arial"/>
                <w:color w:val="555555"/>
                <w:kern w:val="0"/>
                <w:sz w:val="20"/>
                <w:szCs w:val="20"/>
                <w:lang w:eastAsia="ru-RU"/>
                <w14:ligatures w14:val="none"/>
              </w:rPr>
              <w:br/>
            </w:r>
          </w:p>
          <w:p w14:paraId="5D7F64A9" w14:textId="77777777" w:rsidR="00EA7F85" w:rsidRPr="00EA7F85" w:rsidRDefault="00EA7F85" w:rsidP="00EA7F85">
            <w:pPr>
              <w:spacing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r w:rsidRPr="00EA7F85">
              <w:rPr>
                <w:rFonts w:ascii="Arial" w:eastAsia="Times New Roman" w:hAnsi="Arial" w:cs="Arial"/>
                <w:color w:val="555555"/>
                <w:kern w:val="0"/>
                <w:sz w:val="17"/>
                <w:szCs w:val="17"/>
                <w:lang w:eastAsia="ru-RU"/>
                <w14:ligatures w14:val="none"/>
              </w:rPr>
              <w:t>.</w:t>
            </w:r>
          </w:p>
          <w:p w14:paraId="7B45A18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законом от 25 декабря 2008 г. № 273-ФЗ «О противодействии коррупции», а также иными федеральными законами.</w:t>
            </w:r>
          </w:p>
          <w:p w14:paraId="395294B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
          <w:p w14:paraId="302097E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Целями настоящих методических рекомендаций являются:</w:t>
            </w:r>
          </w:p>
          <w:p w14:paraId="6D71890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14:paraId="37A2F69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14:paraId="01DB9E8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14:paraId="615CA0EA"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Анализ сведений предполагает широкую вариативность действий, включая</w:t>
            </w:r>
            <w:r w:rsidRPr="00EA7F85">
              <w:rPr>
                <w:rFonts w:ascii="Arial" w:eastAsia="Times New Roman" w:hAnsi="Arial" w:cs="Arial"/>
                <w:color w:val="555555"/>
                <w:kern w:val="0"/>
                <w:sz w:val="23"/>
                <w:szCs w:val="23"/>
                <w:vertAlign w:val="superscript"/>
                <w:lang w:eastAsia="ru-RU"/>
                <w14:ligatures w14:val="none"/>
              </w:rPr>
              <w:t>2</w:t>
            </w:r>
            <w:r w:rsidRPr="00EA7F85">
              <w:rPr>
                <w:rFonts w:ascii="Arial" w:eastAsia="Times New Roman" w:hAnsi="Arial" w:cs="Arial"/>
                <w:color w:val="555555"/>
                <w:kern w:val="0"/>
                <w:sz w:val="23"/>
                <w:szCs w:val="23"/>
                <w:lang w:eastAsia="ru-RU"/>
                <w14:ligatures w14:val="none"/>
              </w:rPr>
              <w:t>:</w:t>
            </w:r>
          </w:p>
          <w:p w14:paraId="399619F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14:paraId="4E6FB56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14:paraId="2E8E4C7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
          <w:p w14:paraId="24183F3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14:paraId="513E97A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I. Первичная оценка справки о доходах, расходах, об имуществе и обязательствах имущественного характера за отчетный период</w:t>
            </w:r>
          </w:p>
          <w:p w14:paraId="694C6D4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340942EA"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14:paraId="6258EA1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14:paraId="0819617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приеме справки оценивается:</w:t>
            </w:r>
          </w:p>
          <w:p w14:paraId="50BC649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своевременность представления сведений.</w:t>
            </w:r>
          </w:p>
          <w:p w14:paraId="666C2A0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соответствие представленной справки утвержденной форме;</w:t>
            </w:r>
          </w:p>
          <w:p w14:paraId="5E9556B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14:paraId="222B795A"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14:paraId="78DB3C3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а) сведения о своих доходах, доходах супруги (супруга), несовершеннолетних детей, полученных за календарный год (с 1 января</w:t>
            </w:r>
            <w:r w:rsidRPr="00EA7F85">
              <w:rPr>
                <w:rFonts w:ascii="Arial" w:eastAsia="Times New Roman" w:hAnsi="Arial" w:cs="Arial"/>
                <w:color w:val="555555"/>
                <w:kern w:val="0"/>
                <w:sz w:val="23"/>
                <w:szCs w:val="23"/>
                <w:lang w:eastAsia="ru-RU"/>
                <w14:ligatures w14:val="none"/>
              </w:rPr>
              <w:br/>
              <w:t>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14:paraId="0DA332D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w:t>
            </w:r>
            <w:r w:rsidRPr="00EA7F85">
              <w:rPr>
                <w:rFonts w:ascii="Arial" w:eastAsia="Times New Roman" w:hAnsi="Arial" w:cs="Arial"/>
                <w:color w:val="555555"/>
                <w:kern w:val="0"/>
                <w:sz w:val="23"/>
                <w:szCs w:val="23"/>
                <w:lang w:eastAsia="ru-RU"/>
                <w14:ligatures w14:val="none"/>
              </w:rPr>
              <w:br/>
              <w:t>(на отчетную дату).</w:t>
            </w:r>
          </w:p>
          <w:p w14:paraId="48E19EE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Государственные (муниципальные) служащие, (работники) представляют:</w:t>
            </w:r>
          </w:p>
          <w:p w14:paraId="129993A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14:paraId="28C24D0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112CE5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полнота заполнения соответствующих разделов справки.</w:t>
            </w:r>
          </w:p>
          <w:p w14:paraId="098247D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частности, в:</w:t>
            </w:r>
          </w:p>
          <w:p w14:paraId="660B602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разделе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14:paraId="5D743F2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xml:space="preserve">разделе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w:t>
            </w:r>
            <w:r w:rsidRPr="00EA7F85">
              <w:rPr>
                <w:rFonts w:ascii="Arial" w:eastAsia="Times New Roman" w:hAnsi="Arial" w:cs="Arial"/>
                <w:color w:val="555555"/>
                <w:kern w:val="0"/>
                <w:sz w:val="23"/>
                <w:szCs w:val="23"/>
                <w:lang w:eastAsia="ru-RU"/>
                <w14:ligatures w14:val="none"/>
              </w:rPr>
              <w:lastRenderedPageBreak/>
              <w:t>«Недвижимое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14:paraId="4FA6F76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14:paraId="536F2F5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14:paraId="6B79256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II. Детальный анализ справки о доходах, расходах, об имуществе и обязательствах имущественного характера за отчетный период</w:t>
            </w:r>
          </w:p>
          <w:p w14:paraId="219BDA3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r w:rsidRPr="00EA7F85">
              <w:rPr>
                <w:rFonts w:ascii="Arial" w:eastAsia="Times New Roman" w:hAnsi="Arial" w:cs="Arial"/>
                <w:color w:val="555555"/>
                <w:kern w:val="0"/>
                <w:sz w:val="23"/>
                <w:szCs w:val="23"/>
                <w:vertAlign w:val="superscript"/>
                <w:lang w:eastAsia="ru-RU"/>
                <w14:ligatures w14:val="none"/>
              </w:rPr>
              <w:t>2</w:t>
            </w:r>
            <w:r w:rsidRPr="00EA7F85">
              <w:rPr>
                <w:rFonts w:ascii="Arial" w:eastAsia="Times New Roman" w:hAnsi="Arial" w:cs="Arial"/>
                <w:color w:val="555555"/>
                <w:kern w:val="0"/>
                <w:sz w:val="23"/>
                <w:szCs w:val="23"/>
                <w:lang w:eastAsia="ru-RU"/>
                <w14:ligatures w14:val="none"/>
              </w:rPr>
              <w:t>.</w:t>
            </w:r>
          </w:p>
          <w:p w14:paraId="730F8A6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14:paraId="363D9F7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14:paraId="751C1A8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w:t>
            </w:r>
            <w:r w:rsidRPr="00EA7F85">
              <w:rPr>
                <w:rFonts w:ascii="Arial" w:eastAsia="Times New Roman" w:hAnsi="Arial" w:cs="Arial"/>
                <w:color w:val="555555"/>
                <w:kern w:val="0"/>
                <w:sz w:val="23"/>
                <w:szCs w:val="23"/>
                <w:lang w:eastAsia="ru-RU"/>
                <w14:ligatures w14:val="none"/>
              </w:rPr>
              <w:lastRenderedPageBreak/>
              <w:t>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14:paraId="5231CB7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2.1. Титульный лист</w:t>
            </w:r>
          </w:p>
          <w:p w14:paraId="5B58415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При анализе титульного листа справки следует обратить внимание на:</w:t>
            </w:r>
          </w:p>
          <w:p w14:paraId="63D08D8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14:paraId="52D1B6AD"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 Сопоставление указанных сведений осуществляется с имеющейся актуальной информацией, хранящейся в личном деле лица;</w:t>
            </w:r>
          </w:p>
          <w:p w14:paraId="5259EDC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14:paraId="5F02D5F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14:paraId="0AD717D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14:paraId="78BA1B9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14:paraId="16C09E0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14:paraId="767B8B9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14:paraId="7CA8301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
          <w:p w14:paraId="5B4AFBB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14:paraId="66A6747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w:t>
            </w:r>
          </w:p>
          <w:p w14:paraId="1ACED7C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14:paraId="0C39431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2.2. Раздел 1 «Сведения о доходах»</w:t>
            </w:r>
          </w:p>
          <w:p w14:paraId="0BCE9F1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14:paraId="10BB27B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14:paraId="76EFDEA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14:paraId="6B3D0BC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14:paraId="1FF98ED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14:paraId="43E879F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случаях, если для осуществления отдельных видов деятельности установлен запрет, проверяется соблюдение данного запрета.</w:t>
            </w:r>
          </w:p>
          <w:p w14:paraId="489C89C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Сведения о доходах от вкладов в банках и иных кредитных организациях (строка 4) сопоставляются с разделом 4 «Сведения о счетах в банках и иных кредитных организациях» справки, а также справок за предыдущие периоды.</w:t>
            </w:r>
          </w:p>
          <w:p w14:paraId="385E208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14:paraId="0E12022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14:paraId="63EA683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14:paraId="32ACE71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14:paraId="2E2A206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14:paraId="212A722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анализе раздела 1 «Сведения о доходах» справки следует обратить внимание на обязательность указания итогового дохода (строка 7), который складывается из суммы строк 1 – 6 данного раздела.</w:t>
            </w:r>
          </w:p>
          <w:p w14:paraId="746A0E5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2.3. Раздел 2 «Сведения о расходах»</w:t>
            </w:r>
          </w:p>
          <w:p w14:paraId="23B621F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Раздел 2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14:paraId="1D40BC5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14:paraId="578652B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14:paraId="5720DD2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анализе источников средств, за счет которых приобретено имущество, указанное в разделе 2 «Сведения о расходах» справки, следует обратить внимание на следующие возможные источники получения дохода:</w:t>
            </w:r>
          </w:p>
          <w:p w14:paraId="22D1C9E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14:paraId="653AC85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w:t>
            </w:r>
          </w:p>
          <w:p w14:paraId="1B24279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разделе 4 «Сведения о счетах в 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w:t>
            </w:r>
          </w:p>
          <w:p w14:paraId="550EB27A"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личные накопления семьи за предыдущие годы;</w:t>
            </w:r>
          </w:p>
          <w:p w14:paraId="2FE1D32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14:paraId="056D668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14:paraId="510395E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14:paraId="119A634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14:paraId="6ADEB87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2.4. Раздел 3 «Сведения об имуществе»</w:t>
            </w:r>
          </w:p>
          <w:p w14:paraId="7D58614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При проведении анализа данного раздела справки изучению подлежат сведения:</w:t>
            </w:r>
          </w:p>
          <w:p w14:paraId="429816B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14:paraId="5FAB459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об адресе регистрации (местонахождении) объекта недвижимого имущества;</w:t>
            </w:r>
          </w:p>
          <w:p w14:paraId="4898872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о наименовании регистрационного органа, в котором зарегистрировано транспортное средство (например, наименование органа Госавтоинспекции);</w:t>
            </w:r>
          </w:p>
          <w:p w14:paraId="1E865F0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о площади (кв. м) (для объектов недвижимого имущества);</w:t>
            </w:r>
          </w:p>
          <w:p w14:paraId="23F76FC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об основании приобретения (наименование и реквизиты документа, являющегося законным основанием для возникновения права собственности);</w:t>
            </w:r>
          </w:p>
          <w:p w14:paraId="6688B50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w:t>
            </w:r>
            <w:r w:rsidRPr="00EA7F85">
              <w:rPr>
                <w:rFonts w:ascii="Arial" w:eastAsia="Times New Roman" w:hAnsi="Arial" w:cs="Arial"/>
                <w:color w:val="555555"/>
                <w:kern w:val="0"/>
                <w:sz w:val="23"/>
                <w:szCs w:val="23"/>
                <w:lang w:eastAsia="ru-RU"/>
                <w14:ligatures w14:val="none"/>
              </w:rPr>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14:paraId="2596D30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14:paraId="262A471A"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w:t>
            </w:r>
            <w:r w:rsidRPr="00EA7F85">
              <w:rPr>
                <w:rFonts w:ascii="Arial" w:eastAsia="Times New Roman" w:hAnsi="Arial" w:cs="Arial"/>
                <w:color w:val="555555"/>
                <w:kern w:val="0"/>
                <w:sz w:val="23"/>
                <w:szCs w:val="23"/>
                <w:lang w:eastAsia="ru-RU"/>
                <w14:ligatures w14:val="none"/>
              </w:rPr>
              <w:lastRenderedPageBreak/>
              <w:t>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14:paraId="3EF6739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14:paraId="0FBCEB6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14:paraId="5D9EB05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Также следует обратить внимание на следующее.</w:t>
            </w:r>
          </w:p>
          <w:p w14:paraId="2BDF099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14:paraId="267FAA7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подразделе 6.1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14:paraId="0ABC65F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14:paraId="789F6A9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xml:space="preserve">4) При наличии в собственности лица, супруги (супруга), несовершеннолетних детей жилого дома, дачи, садового дома, гаража, </w:t>
            </w:r>
            <w:proofErr w:type="spellStart"/>
            <w:r w:rsidRPr="00EA7F85">
              <w:rPr>
                <w:rFonts w:ascii="Arial" w:eastAsia="Times New Roman" w:hAnsi="Arial" w:cs="Arial"/>
                <w:color w:val="555555"/>
                <w:kern w:val="0"/>
                <w:sz w:val="23"/>
                <w:szCs w:val="23"/>
                <w:lang w:eastAsia="ru-RU"/>
                <w14:ligatures w14:val="none"/>
              </w:rPr>
              <w:t>машино</w:t>
            </w:r>
            <w:proofErr w:type="spellEnd"/>
            <w:r w:rsidRPr="00EA7F85">
              <w:rPr>
                <w:rFonts w:ascii="Arial" w:eastAsia="Times New Roman" w:hAnsi="Arial" w:cs="Arial"/>
                <w:color w:val="555555"/>
                <w:kern w:val="0"/>
                <w:sz w:val="23"/>
                <w:szCs w:val="23"/>
                <w:lang w:eastAsia="ru-RU"/>
                <w14:ligatures w14:val="none"/>
              </w:rPr>
              <w:t>-места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14:paraId="16C860B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14:paraId="203257A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14:paraId="465A0E2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14:paraId="07DD5ED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К фактам, позволяющим сделать вывод о возможном представлении лицом недостоверных или неполных сведений, можно отнести следующие случаи.</w:t>
            </w:r>
          </w:p>
          <w:p w14:paraId="528AFBF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14:paraId="38F151F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14:paraId="1CE1D6F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14:paraId="1F003C4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2.5. Раздел 4 «Сведения о счетах в банках и иных кредитных организациях»</w:t>
            </w:r>
          </w:p>
          <w:p w14:paraId="6714A63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14:paraId="1E39579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рамках анализа представленные сведения сопоставляются с аналогичными сведениями справок предыдущих отчетных периодов (при их наличии).</w:t>
            </w:r>
          </w:p>
          <w:p w14:paraId="18E1D38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14:paraId="2A7CF18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14:paraId="164AC22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К фактам, позволяющим сделать вывод о возможном совершении лицом коррупционного правонарушения, можно отнести следующие случаи.</w:t>
            </w:r>
          </w:p>
          <w:p w14:paraId="4D08150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14:paraId="4A1BC83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14:paraId="26DBFC6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14:paraId="606EFE3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2.6. Раздел 5 «Сведения о ценных бумагах»</w:t>
            </w:r>
          </w:p>
          <w:p w14:paraId="1D1C6FE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14:paraId="66FDF9E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полное или сокращенное официальное наименование организации и ее организационно-правовой формы;</w:t>
            </w:r>
          </w:p>
          <w:p w14:paraId="386854C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местонахождение организации (адрес);</w:t>
            </w:r>
          </w:p>
          <w:p w14:paraId="158A266D"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14:paraId="6FF0D0ED"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доля участия;</w:t>
            </w:r>
          </w:p>
          <w:p w14:paraId="048C102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основания участия.</w:t>
            </w:r>
          </w:p>
          <w:p w14:paraId="0C5586C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2. При анализе подраздела 5.2 «Иные ценные бумаги» справки следует обратить внимание на необходимость указания:</w:t>
            </w:r>
          </w:p>
          <w:p w14:paraId="481F965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вида ценной бумаги;</w:t>
            </w:r>
          </w:p>
          <w:p w14:paraId="7ED78DF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лица, выпустившего ценную бумагу;</w:t>
            </w:r>
          </w:p>
          <w:p w14:paraId="2E6D974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номинальной величины обязательства;</w:t>
            </w:r>
          </w:p>
          <w:p w14:paraId="3D50EC7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общего количества;</w:t>
            </w:r>
          </w:p>
          <w:p w14:paraId="648B4B4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общей стоимости.</w:t>
            </w:r>
          </w:p>
          <w:p w14:paraId="4ED373F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14:paraId="211421F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14:paraId="1C68082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14:paraId="5E0C9614"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14:paraId="23E6710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14:paraId="5A8B0BB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14:paraId="234DFE3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14:paraId="021F6D4A"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14:paraId="0AB05E6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10. В случае наличия сомнений в достоверности отражения информации целесообразно запросить пояснения у лица, представившего сведения.</w:t>
            </w:r>
          </w:p>
          <w:p w14:paraId="2B22DAA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 xml:space="preserve">11. В случае, если в отчетном периоде совершены сделки с недвижимым имуществом и (или) транспортными средствами </w:t>
            </w:r>
            <w:proofErr w:type="gramStart"/>
            <w:r w:rsidRPr="00EA7F85">
              <w:rPr>
                <w:rFonts w:ascii="Arial" w:eastAsia="Times New Roman" w:hAnsi="Arial" w:cs="Arial"/>
                <w:color w:val="555555"/>
                <w:kern w:val="0"/>
                <w:sz w:val="23"/>
                <w:szCs w:val="23"/>
                <w:lang w:eastAsia="ru-RU"/>
                <w14:ligatures w14:val="none"/>
              </w:rPr>
              <w:t>и</w:t>
            </w:r>
            <w:proofErr w:type="gramEnd"/>
            <w:r w:rsidRPr="00EA7F85">
              <w:rPr>
                <w:rFonts w:ascii="Arial" w:eastAsia="Times New Roman" w:hAnsi="Arial" w:cs="Arial"/>
                <w:color w:val="555555"/>
                <w:kern w:val="0"/>
                <w:sz w:val="23"/>
                <w:szCs w:val="23"/>
                <w:lang w:eastAsia="ru-RU"/>
                <w14:ligatures w14:val="none"/>
              </w:rPr>
              <w:t xml:space="preserve"> в связи с этим заполнен раздел 2 справки, любые приобретения ценных бумаг и долей участия в коммерческих организациях автоматически (по совокупности) подлежат декларированию в разделе 2 справки.</w:t>
            </w:r>
          </w:p>
          <w:p w14:paraId="732A465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2.7. Раздел 6 «Сведения об обязательствах имущественного характера»</w:t>
            </w:r>
          </w:p>
          <w:p w14:paraId="37D87B5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14:paraId="070075AD"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 вида имущества;</w:t>
            </w:r>
          </w:p>
          <w:p w14:paraId="37AF22B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вида и сроков пользования;</w:t>
            </w:r>
          </w:p>
          <w:p w14:paraId="54D4DC5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основания пользования;</w:t>
            </w:r>
          </w:p>
          <w:p w14:paraId="0516D9F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местонахождения (адреса);</w:t>
            </w:r>
          </w:p>
          <w:p w14:paraId="58B4AE1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площади (кв. м).</w:t>
            </w:r>
          </w:p>
          <w:p w14:paraId="2686E47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В случае если на титульном листе справки указанное в информации о регистрации имущество не отражено в подразделе 3.1 «Недвижимое имущество» справки, такое имущество подлежит указанию в подразделе 6.1 «Объекты недвижимого имущества, находящиеся в пользовании» справки</w:t>
            </w:r>
            <w:r w:rsidRPr="00EA7F85">
              <w:rPr>
                <w:rFonts w:ascii="Arial" w:eastAsia="Times New Roman" w:hAnsi="Arial" w:cs="Arial"/>
                <w:color w:val="555555"/>
                <w:kern w:val="0"/>
                <w:sz w:val="23"/>
                <w:szCs w:val="23"/>
                <w:lang w:eastAsia="ru-RU"/>
                <w14:ligatures w14:val="none"/>
              </w:rPr>
              <w:br/>
              <w:t>(за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1FF7BA1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запросить соответствующие пояснения.</w:t>
            </w:r>
          </w:p>
          <w:p w14:paraId="7DA9FC48"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При анализе подраздела 6.2 «Срочные обязательства финансового характера» справки следует обратить внимание на необходимость указания:</w:t>
            </w:r>
          </w:p>
          <w:p w14:paraId="7D405BC0"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1) содержания обязательства;</w:t>
            </w:r>
          </w:p>
          <w:p w14:paraId="290CCFD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 кредитора (должника);</w:t>
            </w:r>
          </w:p>
          <w:p w14:paraId="6B8EEF2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3) основания возникновения;</w:t>
            </w:r>
          </w:p>
          <w:p w14:paraId="657AA3C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14:paraId="2CE9209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условий обязательства.</w:t>
            </w:r>
          </w:p>
          <w:p w14:paraId="069530C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14:paraId="247C306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6. При анализе информации о кредиторе (должнике) и гарантиях и поручительствах необходимо удостовериться в отсутствии конфликта интересов.</w:t>
            </w:r>
          </w:p>
          <w:p w14:paraId="4B59ECE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14:paraId="53E1718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случае существенного расхождения между этими показателями необходимо запросить пояснения.</w:t>
            </w:r>
          </w:p>
          <w:p w14:paraId="0ACDBA5D"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w:t>
            </w:r>
          </w:p>
          <w:p w14:paraId="1173459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разделе 4 «Сведения о счетах в банках и иных кредитных организациях» справки.</w:t>
            </w:r>
          </w:p>
          <w:p w14:paraId="0E41C0D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14:paraId="0B8F01A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14:paraId="083EEA1E"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14:paraId="70A825D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14:paraId="7DC071A2"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14:paraId="5AD44D7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14:paraId="1DAC7A37"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14:paraId="7CD95B5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14. При наличии кредита или займа, сумма которых значительно превышает годовой доход лица, супруги (супруга), необходимо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w:t>
            </w:r>
          </w:p>
          <w:p w14:paraId="3992A7EC"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4A40D7EF"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14:paraId="34A8C57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14:paraId="49AB3CD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
          <w:p w14:paraId="494903AE" w14:textId="77777777" w:rsidR="00EA7F85" w:rsidRPr="00EA7F85" w:rsidRDefault="00EA7F85" w:rsidP="00EA7F85">
            <w:pPr>
              <w:spacing w:before="120" w:after="0" w:line="285" w:lineRule="atLeast"/>
              <w:jc w:val="both"/>
              <w:rPr>
                <w:rFonts w:ascii="Arial" w:eastAsia="Times New Roman" w:hAnsi="Arial" w:cs="Arial"/>
                <w:color w:val="555555"/>
                <w:kern w:val="0"/>
                <w:sz w:val="20"/>
                <w:szCs w:val="20"/>
                <w:lang w:eastAsia="ru-RU"/>
                <w14:ligatures w14:val="none"/>
              </w:rPr>
            </w:pPr>
            <w:r w:rsidRPr="00EA7F85">
              <w:rPr>
                <w:rFonts w:ascii="Arial" w:eastAsia="Times New Roman" w:hAnsi="Arial" w:cs="Arial"/>
                <w:color w:val="555555"/>
                <w:kern w:val="0"/>
                <w:sz w:val="20"/>
                <w:szCs w:val="20"/>
                <w:lang w:eastAsia="ru-RU"/>
                <w14:ligatures w14:val="none"/>
              </w:rPr>
              <w:lastRenderedPageBreak/>
              <w:br/>
            </w:r>
          </w:p>
          <w:p w14:paraId="111EF75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vertAlign w:val="superscript"/>
                <w:lang w:eastAsia="ru-RU"/>
                <w14:ligatures w14:val="none"/>
              </w:rPr>
              <w:t>1 </w:t>
            </w:r>
            <w:r w:rsidRPr="00EA7F85">
              <w:rPr>
                <w:rFonts w:ascii="Arial" w:eastAsia="Times New Roman" w:hAnsi="Arial" w:cs="Arial"/>
                <w:color w:val="555555"/>
                <w:kern w:val="0"/>
                <w:sz w:val="23"/>
                <w:szCs w:val="23"/>
                <w:lang w:eastAsia="ru-RU"/>
                <w14:ligatures w14:val="none"/>
              </w:rPr>
              <w:t>За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14:paraId="6C028E61"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vertAlign w:val="superscript"/>
                <w:lang w:eastAsia="ru-RU"/>
                <w14:ligatures w14:val="none"/>
              </w:rPr>
              <w:t>2</w:t>
            </w:r>
            <w:r w:rsidRPr="00EA7F85">
              <w:rPr>
                <w:rFonts w:ascii="Arial" w:eastAsia="Times New Roman" w:hAnsi="Arial" w:cs="Arial"/>
                <w:color w:val="555555"/>
                <w:kern w:val="0"/>
                <w:sz w:val="23"/>
                <w:szCs w:val="23"/>
                <w:lang w:eastAsia="ru-RU"/>
                <w14:ligatures w14:val="none"/>
              </w:rPr>
              <w:t> Подпункт «л» пункта 3 Указа Президента Российской Федерации</w:t>
            </w:r>
            <w:r w:rsidRPr="00EA7F85">
              <w:rPr>
                <w:rFonts w:ascii="Arial" w:eastAsia="Times New Roman" w:hAnsi="Arial" w:cs="Arial"/>
                <w:color w:val="555555"/>
                <w:kern w:val="0"/>
                <w:sz w:val="23"/>
                <w:szCs w:val="23"/>
                <w:lang w:eastAsia="ru-RU"/>
                <w14:ligatures w14:val="none"/>
              </w:rPr>
              <w:b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391D02AB"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Пункт 1 статьи 10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28FC3576"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6E9BB373"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14:paraId="66403CD5"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w:t>
            </w:r>
            <w:r w:rsidRPr="00EA7F85">
              <w:rPr>
                <w:rFonts w:ascii="Arial" w:eastAsia="Times New Roman" w:hAnsi="Arial" w:cs="Arial"/>
                <w:color w:val="555555"/>
                <w:kern w:val="0"/>
                <w:sz w:val="23"/>
                <w:szCs w:val="23"/>
                <w:lang w:eastAsia="ru-RU"/>
                <w14:ligatures w14:val="none"/>
              </w:rPr>
              <w:br/>
              <w:t>«О мерах по совершенствованию организации деятельности в области противодействия коррупции».</w:t>
            </w:r>
          </w:p>
          <w:p w14:paraId="496AB389" w14:textId="77777777" w:rsidR="00EA7F85" w:rsidRPr="00EA7F85" w:rsidRDefault="00EA7F85" w:rsidP="00EA7F85">
            <w:pPr>
              <w:spacing w:before="120" w:after="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14:paraId="1D7667C9" w14:textId="77777777" w:rsidR="00EA7F85" w:rsidRPr="00EA7F85" w:rsidRDefault="00EA7F85" w:rsidP="00EA7F85">
            <w:pPr>
              <w:spacing w:before="120" w:line="285" w:lineRule="atLeast"/>
              <w:jc w:val="both"/>
              <w:rPr>
                <w:rFonts w:ascii="Arial" w:eastAsia="Times New Roman" w:hAnsi="Arial" w:cs="Arial"/>
                <w:color w:val="555555"/>
                <w:kern w:val="0"/>
                <w:sz w:val="23"/>
                <w:szCs w:val="23"/>
                <w:lang w:eastAsia="ru-RU"/>
                <w14:ligatures w14:val="none"/>
              </w:rPr>
            </w:pPr>
            <w:r w:rsidRPr="00EA7F85">
              <w:rPr>
                <w:rFonts w:ascii="Arial" w:eastAsia="Times New Roman" w:hAnsi="Arial" w:cs="Arial"/>
                <w:color w:val="555555"/>
                <w:kern w:val="0"/>
                <w:sz w:val="23"/>
                <w:szCs w:val="23"/>
                <w:lang w:eastAsia="ru-RU"/>
                <w14:ligatures w14:val="none"/>
              </w:rPr>
              <w:lastRenderedPageBreak/>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p>
          <w:p w14:paraId="62785BC4" w14:textId="77777777" w:rsidR="00EA7F85" w:rsidRPr="00EA7F85" w:rsidRDefault="00EA7F85" w:rsidP="00EA7F85">
            <w:pPr>
              <w:spacing w:before="120" w:line="285" w:lineRule="atLeast"/>
              <w:jc w:val="both"/>
              <w:rPr>
                <w:rFonts w:ascii="Arial" w:eastAsia="Times New Roman" w:hAnsi="Arial" w:cs="Arial"/>
                <w:color w:val="555555"/>
                <w:kern w:val="0"/>
                <w:sz w:val="20"/>
                <w:szCs w:val="20"/>
                <w:lang w:eastAsia="ru-RU"/>
                <w14:ligatures w14:val="none"/>
              </w:rPr>
            </w:pPr>
            <w:r w:rsidRPr="00EA7F85">
              <w:rPr>
                <w:rFonts w:ascii="Arial" w:eastAsia="Times New Roman" w:hAnsi="Arial" w:cs="Arial"/>
                <w:b/>
                <w:bCs/>
                <w:color w:val="555555"/>
                <w:kern w:val="0"/>
                <w:sz w:val="20"/>
                <w:szCs w:val="20"/>
                <w:lang w:eastAsia="ru-RU"/>
                <w14:ligatures w14:val="none"/>
              </w:rPr>
              <w:t>Опубликовано: </w:t>
            </w:r>
            <w:r w:rsidRPr="00EA7F85">
              <w:rPr>
                <w:rFonts w:ascii="Arial" w:eastAsia="Times New Roman" w:hAnsi="Arial" w:cs="Arial"/>
                <w:color w:val="555555"/>
                <w:kern w:val="0"/>
                <w:sz w:val="20"/>
                <w:szCs w:val="20"/>
                <w:lang w:eastAsia="ru-RU"/>
                <w14:ligatures w14:val="none"/>
              </w:rPr>
              <w:t>28.12.2017 16:45        </w:t>
            </w:r>
            <w:r w:rsidRPr="00EA7F85">
              <w:rPr>
                <w:rFonts w:ascii="Arial" w:eastAsia="Times New Roman" w:hAnsi="Arial" w:cs="Arial"/>
                <w:b/>
                <w:bCs/>
                <w:color w:val="555555"/>
                <w:kern w:val="0"/>
                <w:sz w:val="20"/>
                <w:szCs w:val="20"/>
                <w:lang w:eastAsia="ru-RU"/>
                <w14:ligatures w14:val="none"/>
              </w:rPr>
              <w:t>Обновлено: </w:t>
            </w:r>
            <w:r w:rsidRPr="00EA7F85">
              <w:rPr>
                <w:rFonts w:ascii="Arial" w:eastAsia="Times New Roman" w:hAnsi="Arial" w:cs="Arial"/>
                <w:color w:val="555555"/>
                <w:kern w:val="0"/>
                <w:sz w:val="20"/>
                <w:szCs w:val="20"/>
                <w:lang w:eastAsia="ru-RU"/>
                <w14:ligatures w14:val="none"/>
              </w:rPr>
              <w:t>30.01.2023 17:11</w:t>
            </w:r>
          </w:p>
        </w:tc>
      </w:tr>
    </w:tbl>
    <w:p w14:paraId="30341C9F" w14:textId="77777777" w:rsidR="00DA6E6E" w:rsidRDefault="00DA6E6E" w:rsidP="00EA7F85">
      <w:pPr>
        <w:jc w:val="both"/>
      </w:pPr>
    </w:p>
    <w:sectPr w:rsidR="00DA6E6E" w:rsidSect="00EA7F85">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4A51"/>
    <w:multiLevelType w:val="multilevel"/>
    <w:tmpl w:val="8522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98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85"/>
    <w:rsid w:val="00DA6E6E"/>
    <w:rsid w:val="00EA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FBEA"/>
  <w15:chartTrackingRefBased/>
  <w15:docId w15:val="{4E377A8B-3BD7-4680-A389-0A1F5675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7F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F85"/>
    <w:rPr>
      <w:rFonts w:ascii="Times New Roman" w:eastAsia="Times New Roman" w:hAnsi="Times New Roman" w:cs="Times New Roman"/>
      <w:b/>
      <w:bCs/>
      <w:kern w:val="36"/>
      <w:sz w:val="48"/>
      <w:szCs w:val="48"/>
      <w:lang w:eastAsia="ru-RU"/>
      <w14:ligatures w14:val="none"/>
    </w:rPr>
  </w:style>
  <w:style w:type="paragraph" w:customStyle="1" w:styleId="doc">
    <w:name w:val="doc"/>
    <w:basedOn w:val="a"/>
    <w:rsid w:val="00EA7F8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EA7F85"/>
    <w:rPr>
      <w:color w:val="0000FF"/>
      <w:u w:val="single"/>
    </w:rPr>
  </w:style>
  <w:style w:type="paragraph" w:styleId="a4">
    <w:name w:val="Normal (Web)"/>
    <w:basedOn w:val="a"/>
    <w:uiPriority w:val="99"/>
    <w:semiHidden/>
    <w:unhideWhenUsed/>
    <w:rsid w:val="00EA7F8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8135">
      <w:bodyDiv w:val="1"/>
      <w:marLeft w:val="0"/>
      <w:marRight w:val="0"/>
      <w:marTop w:val="0"/>
      <w:marBottom w:val="0"/>
      <w:divBdr>
        <w:top w:val="none" w:sz="0" w:space="0" w:color="auto"/>
        <w:left w:val="none" w:sz="0" w:space="0" w:color="auto"/>
        <w:bottom w:val="none" w:sz="0" w:space="0" w:color="auto"/>
        <w:right w:val="none" w:sz="0" w:space="0" w:color="auto"/>
      </w:divBdr>
      <w:divsChild>
        <w:div w:id="1081677738">
          <w:marLeft w:val="0"/>
          <w:marRight w:val="0"/>
          <w:marTop w:val="0"/>
          <w:marBottom w:val="0"/>
          <w:divBdr>
            <w:top w:val="none" w:sz="0" w:space="0" w:color="auto"/>
            <w:left w:val="none" w:sz="0" w:space="0" w:color="auto"/>
            <w:bottom w:val="none" w:sz="0" w:space="0" w:color="auto"/>
            <w:right w:val="none" w:sz="0" w:space="0" w:color="auto"/>
          </w:divBdr>
          <w:divsChild>
            <w:div w:id="1144198818">
              <w:marLeft w:val="0"/>
              <w:marRight w:val="0"/>
              <w:marTop w:val="0"/>
              <w:marBottom w:val="0"/>
              <w:divBdr>
                <w:top w:val="none" w:sz="0" w:space="0" w:color="auto"/>
                <w:left w:val="none" w:sz="0" w:space="0" w:color="auto"/>
                <w:bottom w:val="none" w:sz="0" w:space="0" w:color="auto"/>
                <w:right w:val="none" w:sz="0" w:space="0" w:color="auto"/>
              </w:divBdr>
              <w:divsChild>
                <w:div w:id="131139202">
                  <w:marLeft w:val="0"/>
                  <w:marRight w:val="0"/>
                  <w:marTop w:val="0"/>
                  <w:marBottom w:val="0"/>
                  <w:divBdr>
                    <w:top w:val="none" w:sz="0" w:space="0" w:color="auto"/>
                    <w:left w:val="none" w:sz="0" w:space="0" w:color="auto"/>
                    <w:bottom w:val="none" w:sz="0" w:space="0" w:color="auto"/>
                    <w:right w:val="none" w:sz="0" w:space="0" w:color="auto"/>
                  </w:divBdr>
                  <w:divsChild>
                    <w:div w:id="152139407">
                      <w:marLeft w:val="0"/>
                      <w:marRight w:val="0"/>
                      <w:marTop w:val="0"/>
                      <w:marBottom w:val="0"/>
                      <w:divBdr>
                        <w:top w:val="none" w:sz="0" w:space="0" w:color="auto"/>
                        <w:left w:val="none" w:sz="0" w:space="0" w:color="auto"/>
                        <w:bottom w:val="none" w:sz="0" w:space="0" w:color="auto"/>
                        <w:right w:val="none" w:sz="0" w:space="0" w:color="auto"/>
                      </w:divBdr>
                      <w:divsChild>
                        <w:div w:id="2093232444">
                          <w:marLeft w:val="0"/>
                          <w:marRight w:val="0"/>
                          <w:marTop w:val="150"/>
                          <w:marBottom w:val="150"/>
                          <w:divBdr>
                            <w:top w:val="none" w:sz="0" w:space="0" w:color="auto"/>
                            <w:left w:val="none" w:sz="0" w:space="0" w:color="auto"/>
                            <w:bottom w:val="none" w:sz="0" w:space="0" w:color="auto"/>
                            <w:right w:val="none" w:sz="0" w:space="0" w:color="auto"/>
                          </w:divBdr>
                        </w:div>
                        <w:div w:id="1756247806">
                          <w:marLeft w:val="0"/>
                          <w:marRight w:val="0"/>
                          <w:marTop w:val="0"/>
                          <w:marBottom w:val="300"/>
                          <w:divBdr>
                            <w:top w:val="none" w:sz="0" w:space="0" w:color="auto"/>
                            <w:left w:val="none" w:sz="0" w:space="0" w:color="auto"/>
                            <w:bottom w:val="none" w:sz="0" w:space="0" w:color="auto"/>
                            <w:right w:val="none" w:sz="0" w:space="0" w:color="auto"/>
                          </w:divBdr>
                          <w:divsChild>
                            <w:div w:id="1591310287">
                              <w:marLeft w:val="0"/>
                              <w:marRight w:val="0"/>
                              <w:marTop w:val="0"/>
                              <w:marBottom w:val="0"/>
                              <w:divBdr>
                                <w:top w:val="none" w:sz="0" w:space="0" w:color="auto"/>
                                <w:left w:val="none" w:sz="0" w:space="0" w:color="auto"/>
                                <w:bottom w:val="none" w:sz="0" w:space="0" w:color="auto"/>
                                <w:right w:val="none" w:sz="0" w:space="0" w:color="auto"/>
                              </w:divBdr>
                            </w:div>
                          </w:divsChild>
                        </w:div>
                        <w:div w:id="894857451">
                          <w:marLeft w:val="0"/>
                          <w:marRight w:val="0"/>
                          <w:marTop w:val="11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6996</Words>
  <Characters>39879</Characters>
  <Application>Microsoft Office Word</Application>
  <DocSecurity>0</DocSecurity>
  <Lines>332</Lines>
  <Paragraphs>93</Paragraphs>
  <ScaleCrop>false</ScaleCrop>
  <Company/>
  <LinksUpToDate>false</LinksUpToDate>
  <CharactersWithSpaces>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2023-04-02T14:00:00Z</dcterms:created>
  <dcterms:modified xsi:type="dcterms:W3CDTF">2023-04-02T14:02:00Z</dcterms:modified>
</cp:coreProperties>
</file>